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BA2" w:rsidRPr="006F44D3" w:rsidRDefault="008D4BA2" w:rsidP="008D4BA2">
      <w:pPr>
        <w:rPr>
          <w:rFonts w:asciiTheme="majorHAnsi" w:hAnsiTheme="majorHAnsi"/>
          <w:sz w:val="24"/>
        </w:rPr>
      </w:pPr>
      <w:r w:rsidRPr="006F44D3">
        <w:rPr>
          <w:rFonts w:asciiTheme="majorHAnsi" w:hAnsiTheme="majorHAnsi"/>
          <w:sz w:val="24"/>
        </w:rPr>
        <w:t>INGLESE: OBIETTIVI MINIMI</w:t>
      </w:r>
    </w:p>
    <w:p w:rsidR="008D4BA2" w:rsidRPr="006F44D3" w:rsidRDefault="006F44D3" w:rsidP="008D4BA2">
      <w:pPr>
        <w:rPr>
          <w:rFonts w:asciiTheme="majorHAnsi" w:hAnsiTheme="majorHAnsi"/>
          <w:sz w:val="24"/>
        </w:rPr>
      </w:pPr>
      <w:r w:rsidRPr="006F44D3">
        <w:rPr>
          <w:rFonts w:asciiTheme="majorHAnsi" w:hAnsiTheme="majorHAnsi"/>
          <w:sz w:val="24"/>
        </w:rPr>
        <w:t xml:space="preserve"> </w:t>
      </w:r>
      <w:r w:rsidR="00AA1918">
        <w:rPr>
          <w:rFonts w:asciiTheme="majorHAnsi" w:hAnsiTheme="majorHAnsi"/>
          <w:sz w:val="24"/>
        </w:rPr>
        <w:t>C</w:t>
      </w:r>
      <w:r w:rsidR="008D4BA2" w:rsidRPr="006F44D3">
        <w:rPr>
          <w:rFonts w:asciiTheme="majorHAnsi" w:hAnsiTheme="majorHAnsi"/>
          <w:sz w:val="24"/>
        </w:rPr>
        <w:t>lassi II</w:t>
      </w:r>
      <w:r w:rsidRPr="006F44D3">
        <w:rPr>
          <w:rFonts w:asciiTheme="majorHAnsi" w:hAnsiTheme="majorHAnsi"/>
          <w:sz w:val="24"/>
        </w:rPr>
        <w:t>I</w:t>
      </w:r>
      <w:r w:rsidR="008D4BA2" w:rsidRPr="006F44D3">
        <w:rPr>
          <w:rFonts w:asciiTheme="majorHAnsi" w:hAnsiTheme="majorHAnsi"/>
          <w:sz w:val="24"/>
        </w:rPr>
        <w:t xml:space="preserve">  Liceo delle Scienze Umane</w:t>
      </w:r>
    </w:p>
    <w:p w:rsidR="006F44D3" w:rsidRPr="006F44D3" w:rsidRDefault="006F44D3" w:rsidP="00E44697">
      <w:pPr>
        <w:spacing w:before="2" w:after="2"/>
        <w:ind w:left="851"/>
        <w:rPr>
          <w:rFonts w:asciiTheme="majorHAnsi" w:hAnsiTheme="majorHAnsi" w:cs="Calibri"/>
          <w:sz w:val="24"/>
          <w:lang w:eastAsia="it-IT"/>
        </w:rPr>
      </w:pPr>
    </w:p>
    <w:p w:rsidR="006F44D3" w:rsidRPr="006F44D3" w:rsidRDefault="006F44D3" w:rsidP="006F44D3">
      <w:pPr>
        <w:spacing w:before="2" w:after="2"/>
        <w:rPr>
          <w:rFonts w:asciiTheme="majorHAnsi" w:hAnsiTheme="majorHAnsi" w:cs="Calibri"/>
          <w:sz w:val="24"/>
          <w:lang w:eastAsia="it-IT"/>
        </w:rPr>
      </w:pPr>
      <w:r w:rsidRPr="006F44D3">
        <w:rPr>
          <w:rFonts w:asciiTheme="majorHAnsi" w:hAnsiTheme="majorHAnsi" w:cs="Calibri"/>
          <w:sz w:val="24"/>
          <w:lang w:eastAsia="it-IT"/>
        </w:rPr>
        <w:t xml:space="preserve">Dal testo Performer </w:t>
      </w:r>
      <w:r w:rsidR="00D47B00" w:rsidRPr="006F44D3">
        <w:rPr>
          <w:rFonts w:asciiTheme="majorHAnsi" w:hAnsiTheme="majorHAnsi" w:cs="Calibri"/>
          <w:sz w:val="24"/>
          <w:lang w:eastAsia="it-IT"/>
        </w:rPr>
        <w:t xml:space="preserve">Compact </w:t>
      </w:r>
      <w:bookmarkStart w:id="0" w:name="_GoBack"/>
      <w:bookmarkEnd w:id="0"/>
      <w:proofErr w:type="spellStart"/>
      <w:r w:rsidRPr="006F44D3">
        <w:rPr>
          <w:rFonts w:asciiTheme="majorHAnsi" w:hAnsiTheme="majorHAnsi" w:cs="Calibri"/>
          <w:i/>
          <w:sz w:val="24"/>
          <w:lang w:eastAsia="it-IT"/>
        </w:rPr>
        <w:t>Shaping</w:t>
      </w:r>
      <w:proofErr w:type="spellEnd"/>
      <w:r w:rsidRPr="006F44D3">
        <w:rPr>
          <w:rFonts w:asciiTheme="majorHAnsi" w:hAnsiTheme="majorHAnsi" w:cs="Calibri"/>
          <w:i/>
          <w:sz w:val="24"/>
          <w:lang w:eastAsia="it-IT"/>
        </w:rPr>
        <w:t xml:space="preserve"> </w:t>
      </w:r>
      <w:proofErr w:type="spellStart"/>
      <w:r w:rsidRPr="006F44D3">
        <w:rPr>
          <w:rFonts w:asciiTheme="majorHAnsi" w:hAnsiTheme="majorHAnsi" w:cs="Calibri"/>
          <w:i/>
          <w:sz w:val="24"/>
          <w:lang w:eastAsia="it-IT"/>
        </w:rPr>
        <w:t>Ideas</w:t>
      </w:r>
      <w:proofErr w:type="spellEnd"/>
      <w:r w:rsidRPr="006F44D3">
        <w:rPr>
          <w:rFonts w:asciiTheme="majorHAnsi" w:hAnsiTheme="majorHAnsi" w:cs="Calibri"/>
          <w:sz w:val="24"/>
          <w:lang w:eastAsia="it-IT"/>
        </w:rPr>
        <w:t xml:space="preserve">, di </w:t>
      </w:r>
      <w:proofErr w:type="spellStart"/>
      <w:r w:rsidRPr="006F44D3">
        <w:rPr>
          <w:rFonts w:asciiTheme="majorHAnsi" w:hAnsiTheme="majorHAnsi" w:cs="Calibri"/>
          <w:sz w:val="24"/>
          <w:lang w:eastAsia="it-IT"/>
        </w:rPr>
        <w:t>M.Spiazzi</w:t>
      </w:r>
      <w:proofErr w:type="spellEnd"/>
      <w:r w:rsidRPr="006F44D3">
        <w:rPr>
          <w:rFonts w:asciiTheme="majorHAnsi" w:hAnsiTheme="majorHAnsi" w:cs="Calibri"/>
          <w:sz w:val="24"/>
          <w:lang w:eastAsia="it-IT"/>
        </w:rPr>
        <w:t xml:space="preserve">, M. Tavella, M, </w:t>
      </w:r>
      <w:proofErr w:type="spellStart"/>
      <w:r w:rsidRPr="006F44D3">
        <w:rPr>
          <w:rFonts w:asciiTheme="majorHAnsi" w:hAnsiTheme="majorHAnsi" w:cs="Calibri"/>
          <w:sz w:val="24"/>
          <w:lang w:eastAsia="it-IT"/>
        </w:rPr>
        <w:t>Layton</w:t>
      </w:r>
      <w:proofErr w:type="spellEnd"/>
      <w:r w:rsidRPr="006F44D3">
        <w:rPr>
          <w:rFonts w:asciiTheme="majorHAnsi" w:hAnsiTheme="majorHAnsi" w:cs="Calibri"/>
          <w:sz w:val="24"/>
          <w:lang w:eastAsia="it-IT"/>
        </w:rPr>
        <w:t>, ed. Zanichelli</w:t>
      </w:r>
    </w:p>
    <w:p w:rsidR="008D4BA2" w:rsidRDefault="008D4BA2" w:rsidP="00E44697">
      <w:pPr>
        <w:spacing w:before="2" w:after="2"/>
        <w:ind w:left="851"/>
        <w:rPr>
          <w:rFonts w:cs="Calibri"/>
          <w:lang w:eastAsia="it-IT"/>
        </w:rPr>
      </w:pPr>
    </w:p>
    <w:p w:rsidR="006F44D3" w:rsidRDefault="006F44D3" w:rsidP="006F44D3">
      <w:pPr>
        <w:numPr>
          <w:ilvl w:val="0"/>
          <w:numId w:val="1"/>
        </w:numPr>
        <w:suppressAutoHyphens w:val="0"/>
        <w:spacing w:before="2" w:after="2"/>
        <w:textAlignment w:val="baseline"/>
        <w:rPr>
          <w:rFonts w:ascii="Calibri" w:hAnsi="Calibri"/>
          <w:b/>
          <w:color w:val="000000"/>
          <w:sz w:val="24"/>
          <w:szCs w:val="24"/>
          <w:lang w:val="en-US" w:eastAsia="it-IT"/>
        </w:rPr>
      </w:pPr>
      <w:r>
        <w:rPr>
          <w:rFonts w:ascii="Calibri" w:hAnsi="Calibri"/>
          <w:b/>
          <w:color w:val="000000"/>
          <w:sz w:val="24"/>
          <w:szCs w:val="24"/>
          <w:lang w:val="en-US" w:eastAsia="it-IT"/>
        </w:rPr>
        <w:t>Chapter 1 “Towards a national identity”</w:t>
      </w:r>
    </w:p>
    <w:p w:rsidR="006F44D3" w:rsidRDefault="006F44D3" w:rsidP="006F44D3">
      <w:pPr>
        <w:suppressAutoHyphens w:val="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HISTORY &amp; SOCIETY</w:t>
      </w:r>
    </w:p>
    <w:p w:rsidR="006F44D3" w:rsidRDefault="006F44D3" w:rsidP="006F44D3">
      <w:pPr>
        <w:suppressAutoHyphens w:val="0"/>
        <w:ind w:left="36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The Celts</w:t>
      </w:r>
    </w:p>
    <w:p w:rsidR="006F44D3" w:rsidRDefault="006F44D3" w:rsidP="006F44D3">
      <w:pPr>
        <w:suppressAutoHyphens w:val="0"/>
        <w:ind w:left="36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The Romans</w:t>
      </w:r>
    </w:p>
    <w:p w:rsidR="006F44D3" w:rsidRDefault="006F44D3" w:rsidP="006F44D3">
      <w:pPr>
        <w:suppressAutoHyphens w:val="0"/>
        <w:ind w:left="36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The Anglo-Saxons</w:t>
      </w:r>
    </w:p>
    <w:p w:rsidR="006F44D3" w:rsidRDefault="006F44D3" w:rsidP="006F44D3">
      <w:pPr>
        <w:suppressAutoHyphens w:val="0"/>
        <w:ind w:left="36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From the Heptarchy to the Norman conquest</w:t>
      </w:r>
    </w:p>
    <w:p w:rsidR="006F44D3" w:rsidRDefault="006F44D3" w:rsidP="006F44D3">
      <w:pPr>
        <w:suppressAutoHyphens w:val="0"/>
        <w:ind w:left="36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sz w:val="24"/>
          <w:szCs w:val="24"/>
          <w:lang w:val="en-US" w:eastAsia="it-IT"/>
        </w:rPr>
        <w:t xml:space="preserve">The </w:t>
      </w: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Vikings</w:t>
      </w:r>
    </w:p>
    <w:p w:rsidR="006F44D3" w:rsidRDefault="006F44D3" w:rsidP="006F44D3">
      <w:pPr>
        <w:suppressAutoHyphens w:val="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LITERATURE AND CULTURE</w:t>
      </w:r>
    </w:p>
    <w:p w:rsidR="006F44D3" w:rsidRDefault="006F44D3" w:rsidP="006F44D3">
      <w:pPr>
        <w:suppressAutoHyphens w:val="0"/>
        <w:ind w:left="708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sz w:val="24"/>
          <w:szCs w:val="24"/>
          <w:lang w:val="en-US" w:eastAsia="it-IT"/>
        </w:rPr>
        <w:t>Anglo-Saxon Literature</w:t>
      </w:r>
    </w:p>
    <w:p w:rsidR="006F44D3" w:rsidRDefault="006F44D3" w:rsidP="006F44D3">
      <w:pPr>
        <w:suppressAutoHyphens w:val="0"/>
        <w:ind w:left="708"/>
        <w:rPr>
          <w:rFonts w:ascii="Calibri" w:hAnsi="Calibri" w:cs="Times New Roman"/>
          <w:i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i/>
          <w:color w:val="000000"/>
          <w:sz w:val="24"/>
          <w:szCs w:val="24"/>
          <w:lang w:val="en-US" w:eastAsia="it-IT"/>
        </w:rPr>
        <w:t>Beowulf</w:t>
      </w:r>
    </w:p>
    <w:p w:rsidR="006F44D3" w:rsidRDefault="006F44D3" w:rsidP="006F44D3">
      <w:pPr>
        <w:numPr>
          <w:ilvl w:val="0"/>
          <w:numId w:val="2"/>
        </w:numPr>
        <w:suppressAutoHyphens w:val="0"/>
        <w:textAlignment w:val="baseline"/>
        <w:rPr>
          <w:rFonts w:ascii="Calibri" w:hAnsi="Calibri"/>
          <w:b/>
          <w:color w:val="000000"/>
          <w:sz w:val="24"/>
          <w:szCs w:val="24"/>
          <w:lang w:val="en-US" w:eastAsia="it-IT"/>
        </w:rPr>
      </w:pPr>
      <w:r>
        <w:rPr>
          <w:rFonts w:ascii="Calibri" w:hAnsi="Calibri"/>
          <w:b/>
          <w:color w:val="000000"/>
          <w:sz w:val="24"/>
          <w:szCs w:val="24"/>
          <w:lang w:val="en-US" w:eastAsia="it-IT"/>
        </w:rPr>
        <w:t>Chapter 2  “Shaping society”</w:t>
      </w:r>
    </w:p>
    <w:p w:rsidR="006F44D3" w:rsidRDefault="006F44D3" w:rsidP="006F44D3">
      <w:pPr>
        <w:suppressAutoHyphens w:val="0"/>
        <w:ind w:left="36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HISTORY &amp; SOCIETY </w:t>
      </w:r>
    </w:p>
    <w:p w:rsidR="006F44D3" w:rsidRDefault="006F44D3" w:rsidP="006F44D3">
      <w:pPr>
        <w:suppressAutoHyphens w:val="0"/>
        <w:ind w:left="72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The Normans</w:t>
      </w:r>
    </w:p>
    <w:p w:rsidR="006F44D3" w:rsidRDefault="006F44D3" w:rsidP="006F44D3">
      <w:pPr>
        <w:suppressAutoHyphens w:val="0"/>
        <w:ind w:left="72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The  Plantagenets</w:t>
      </w:r>
    </w:p>
    <w:p w:rsidR="006F44D3" w:rsidRDefault="006F44D3" w:rsidP="006F44D3">
      <w:pPr>
        <w:suppressAutoHyphens w:val="0"/>
        <w:ind w:left="72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sz w:val="24"/>
          <w:szCs w:val="24"/>
          <w:lang w:val="en-US" w:eastAsia="it-IT"/>
        </w:rPr>
        <w:t xml:space="preserve">Magna Carta and the development of human rights </w:t>
      </w:r>
    </w:p>
    <w:p w:rsidR="006F44D3" w:rsidRDefault="006F44D3" w:rsidP="006F44D3">
      <w:pPr>
        <w:suppressAutoHyphens w:val="0"/>
        <w:ind w:left="72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sz w:val="24"/>
          <w:szCs w:val="24"/>
          <w:lang w:val="en-US" w:eastAsia="it-IT"/>
        </w:rPr>
        <w:t>Wars and social Revolts</w:t>
      </w:r>
    </w:p>
    <w:p w:rsidR="006F44D3" w:rsidRDefault="006F44D3" w:rsidP="006F44D3">
      <w:pPr>
        <w:suppressAutoHyphens w:val="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LITERATURE AND CULTURE</w:t>
      </w:r>
    </w:p>
    <w:p w:rsidR="006F44D3" w:rsidRDefault="006F44D3" w:rsidP="006F44D3">
      <w:pPr>
        <w:suppressAutoHyphens w:val="0"/>
        <w:ind w:left="708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Medieval ballads</w:t>
      </w:r>
    </w:p>
    <w:p w:rsidR="006F44D3" w:rsidRPr="00AA1918" w:rsidRDefault="006F44D3" w:rsidP="00AA1918">
      <w:pPr>
        <w:suppressAutoHyphens w:val="0"/>
        <w:ind w:left="708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 xml:space="preserve">G. Chaucer, </w:t>
      </w:r>
      <w:r>
        <w:rPr>
          <w:rFonts w:ascii="Calibri" w:hAnsi="Calibri" w:cs="Times New Roman"/>
          <w:i/>
          <w:color w:val="000000"/>
          <w:sz w:val="24"/>
          <w:szCs w:val="24"/>
          <w:lang w:val="en-US" w:eastAsia="it-IT"/>
        </w:rPr>
        <w:t>The Canterbury Tales</w:t>
      </w: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 </w:t>
      </w:r>
    </w:p>
    <w:p w:rsidR="006F44D3" w:rsidRDefault="006F44D3" w:rsidP="006F44D3">
      <w:pPr>
        <w:numPr>
          <w:ilvl w:val="0"/>
          <w:numId w:val="2"/>
        </w:numPr>
        <w:suppressAutoHyphens w:val="0"/>
        <w:textAlignment w:val="baseline"/>
        <w:rPr>
          <w:rFonts w:ascii="Arial" w:hAnsi="Arial"/>
          <w:b/>
          <w:color w:val="000000"/>
          <w:sz w:val="24"/>
          <w:szCs w:val="24"/>
          <w:lang w:val="en-US" w:eastAsia="it-IT"/>
        </w:rPr>
      </w:pPr>
      <w:r>
        <w:rPr>
          <w:rFonts w:ascii="Calibri" w:hAnsi="Calibri"/>
          <w:b/>
          <w:color w:val="000000"/>
          <w:sz w:val="24"/>
          <w:szCs w:val="24"/>
          <w:lang w:val="en-US" w:eastAsia="it-IT"/>
        </w:rPr>
        <w:t>Chapter 3 “Rewriting reality”</w:t>
      </w:r>
    </w:p>
    <w:p w:rsidR="006F44D3" w:rsidRDefault="006F44D3" w:rsidP="006F44D3">
      <w:pPr>
        <w:suppressAutoHyphens w:val="0"/>
        <w:ind w:left="36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HISTORY &amp; SOCIETY: </w:t>
      </w:r>
    </w:p>
    <w:p w:rsidR="006F44D3" w:rsidRDefault="006F44D3" w:rsidP="006F44D3">
      <w:pPr>
        <w:suppressAutoHyphens w:val="0"/>
        <w:ind w:left="708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The Tudors</w:t>
      </w:r>
    </w:p>
    <w:p w:rsidR="006F44D3" w:rsidRDefault="006F44D3" w:rsidP="006F44D3">
      <w:pPr>
        <w:suppressAutoHyphens w:val="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LITERATURE AND CULTURE</w:t>
      </w:r>
    </w:p>
    <w:p w:rsidR="006F44D3" w:rsidRDefault="006F44D3" w:rsidP="006F44D3">
      <w:pPr>
        <w:suppressAutoHyphens w:val="0"/>
        <w:ind w:left="708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The English Renaissance</w:t>
      </w:r>
    </w:p>
    <w:p w:rsidR="006F44D3" w:rsidRDefault="006F44D3" w:rsidP="006F44D3">
      <w:pPr>
        <w:suppressAutoHyphens w:val="0"/>
        <w:ind w:left="708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The sonnet</w:t>
      </w:r>
    </w:p>
    <w:p w:rsidR="006F44D3" w:rsidRDefault="006F44D3" w:rsidP="006F44D3">
      <w:pPr>
        <w:suppressAutoHyphens w:val="0"/>
        <w:ind w:left="708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sz w:val="24"/>
          <w:szCs w:val="24"/>
          <w:lang w:val="en-US" w:eastAsia="it-IT"/>
        </w:rPr>
        <w:t>W. Shakespeare</w:t>
      </w:r>
    </w:p>
    <w:p w:rsidR="006F44D3" w:rsidRDefault="006F44D3" w:rsidP="006F44D3">
      <w:pPr>
        <w:suppressAutoHyphens w:val="0"/>
        <w:rPr>
          <w:rFonts w:ascii="Calibri" w:hAnsi="Calibri" w:cs="Times New Roman"/>
          <w:sz w:val="24"/>
          <w:szCs w:val="24"/>
          <w:lang w:val="en-US" w:eastAsia="it-IT"/>
        </w:rPr>
      </w:pPr>
    </w:p>
    <w:p w:rsidR="006F44D3" w:rsidRDefault="006F44D3" w:rsidP="006F44D3">
      <w:pPr>
        <w:suppressAutoHyphens w:val="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eastAsia="it-IT"/>
        </w:rPr>
        <w:t xml:space="preserve">Dal testo: </w:t>
      </w:r>
      <w:r>
        <w:rPr>
          <w:rFonts w:ascii="Calibri" w:hAnsi="Calibri" w:cs="Times New Roman"/>
          <w:i/>
          <w:color w:val="000000"/>
          <w:sz w:val="24"/>
          <w:szCs w:val="24"/>
          <w:lang w:eastAsia="it-IT"/>
        </w:rPr>
        <w:t>Performer B2, Seconda Edizione</w:t>
      </w:r>
      <w:r>
        <w:rPr>
          <w:rFonts w:ascii="Calibri" w:hAnsi="Calibri" w:cs="Times New Roman"/>
          <w:color w:val="000000"/>
          <w:sz w:val="24"/>
          <w:szCs w:val="24"/>
          <w:lang w:eastAsia="it-IT"/>
        </w:rPr>
        <w:t xml:space="preserve">, di Spiazzi, Tavella, </w:t>
      </w:r>
      <w:proofErr w:type="spellStart"/>
      <w:r>
        <w:rPr>
          <w:rFonts w:ascii="Calibri" w:hAnsi="Calibri" w:cs="Times New Roman"/>
          <w:color w:val="000000"/>
          <w:sz w:val="24"/>
          <w:szCs w:val="24"/>
          <w:lang w:eastAsia="it-IT"/>
        </w:rPr>
        <w:t>Layton</w:t>
      </w:r>
      <w:proofErr w:type="spellEnd"/>
      <w:r>
        <w:rPr>
          <w:rFonts w:ascii="Calibri" w:hAnsi="Calibri" w:cs="Times New Roman"/>
          <w:color w:val="000000"/>
          <w:sz w:val="24"/>
          <w:szCs w:val="24"/>
          <w:lang w:eastAsia="it-IT"/>
        </w:rPr>
        <w:t xml:space="preserve">,  ed. </w:t>
      </w:r>
      <w:proofErr w:type="spellStart"/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Zanichelli</w:t>
      </w:r>
      <w:proofErr w:type="spellEnd"/>
    </w:p>
    <w:p w:rsidR="006F44D3" w:rsidRDefault="006F44D3" w:rsidP="006F44D3">
      <w:pPr>
        <w:suppressAutoHyphens w:val="0"/>
        <w:ind w:left="360"/>
        <w:rPr>
          <w:rFonts w:ascii="Calibri" w:hAnsi="Calibri" w:cs="Times New Roman"/>
          <w:b/>
          <w:color w:val="000000"/>
          <w:sz w:val="24"/>
          <w:szCs w:val="24"/>
          <w:lang w:val="en-US" w:eastAsia="it-IT"/>
        </w:rPr>
      </w:pPr>
    </w:p>
    <w:p w:rsidR="006F44D3" w:rsidRDefault="006F44D3" w:rsidP="006F44D3">
      <w:pPr>
        <w:suppressAutoHyphens w:val="0"/>
        <w:ind w:left="36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b/>
          <w:color w:val="000000"/>
          <w:sz w:val="24"/>
          <w:szCs w:val="24"/>
          <w:lang w:val="en-US" w:eastAsia="it-IT"/>
        </w:rPr>
        <w:t>Unit 1 Identity</w:t>
      </w:r>
    </w:p>
    <w:p w:rsidR="006F44D3" w:rsidRDefault="006F44D3" w:rsidP="006F44D3">
      <w:pPr>
        <w:suppressAutoHyphens w:val="0"/>
        <w:ind w:left="708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 xml:space="preserve">Phrasal verbs and idioms for identity and relationships </w:t>
      </w:r>
    </w:p>
    <w:p w:rsidR="006F44D3" w:rsidRDefault="006F44D3" w:rsidP="006F44D3">
      <w:pPr>
        <w:suppressAutoHyphens w:val="0"/>
        <w:ind w:left="708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 xml:space="preserve">Present perfect vs past simple – Present simple and continuous </w:t>
      </w:r>
    </w:p>
    <w:p w:rsidR="006F44D3" w:rsidRDefault="006F44D3" w:rsidP="006F44D3">
      <w:pPr>
        <w:suppressAutoHyphens w:val="0"/>
        <w:ind w:left="36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b/>
          <w:color w:val="000000"/>
          <w:sz w:val="24"/>
          <w:szCs w:val="24"/>
          <w:lang w:val="en-US" w:eastAsia="it-IT"/>
        </w:rPr>
        <w:t>Unit 2 Togetherness</w:t>
      </w:r>
    </w:p>
    <w:p w:rsidR="006F44D3" w:rsidRDefault="006F44D3" w:rsidP="006F44D3">
      <w:pPr>
        <w:suppressAutoHyphens w:val="0"/>
        <w:ind w:left="708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 xml:space="preserve">Words for community and inclusiveness </w:t>
      </w:r>
    </w:p>
    <w:p w:rsidR="006F44D3" w:rsidRDefault="006F44D3" w:rsidP="006F44D3">
      <w:pPr>
        <w:suppressAutoHyphens w:val="0"/>
        <w:ind w:left="708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Past perfect simple and continuous – Past perfect</w:t>
      </w:r>
    </w:p>
    <w:p w:rsidR="006F44D3" w:rsidRDefault="006F44D3" w:rsidP="006F44D3">
      <w:pPr>
        <w:suppressAutoHyphens w:val="0"/>
        <w:ind w:left="36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b/>
          <w:color w:val="000000"/>
          <w:sz w:val="24"/>
          <w:szCs w:val="24"/>
          <w:lang w:val="en-US" w:eastAsia="it-IT"/>
        </w:rPr>
        <w:t xml:space="preserve">Unit 3 Urban spaces </w:t>
      </w:r>
    </w:p>
    <w:p w:rsidR="006F44D3" w:rsidRDefault="006F44D3" w:rsidP="006F44D3">
      <w:pPr>
        <w:suppressAutoHyphens w:val="0"/>
        <w:ind w:left="708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 xml:space="preserve">Cities and city life - Phrasal verbs with come </w:t>
      </w:r>
    </w:p>
    <w:p w:rsidR="006F44D3" w:rsidRDefault="006F44D3" w:rsidP="006F44D3">
      <w:pPr>
        <w:suppressAutoHyphens w:val="0"/>
        <w:ind w:left="708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Future tenses; future continuous and perfect - Quantifiers</w:t>
      </w:r>
    </w:p>
    <w:p w:rsidR="006F44D3" w:rsidRDefault="006F44D3" w:rsidP="006F44D3">
      <w:pPr>
        <w:suppressAutoHyphens w:val="0"/>
        <w:ind w:left="36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b/>
          <w:color w:val="000000"/>
          <w:sz w:val="24"/>
          <w:szCs w:val="24"/>
          <w:lang w:val="en-US" w:eastAsia="it-IT"/>
        </w:rPr>
        <w:t>Unit 4 Wandering the world</w:t>
      </w:r>
    </w:p>
    <w:p w:rsidR="006F44D3" w:rsidRDefault="006F44D3" w:rsidP="006F44D3">
      <w:pPr>
        <w:suppressAutoHyphens w:val="0"/>
        <w:ind w:left="708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Collocations and expressions for travel and tourism</w:t>
      </w:r>
    </w:p>
    <w:p w:rsidR="006F44D3" w:rsidRDefault="006F44D3" w:rsidP="006F44D3">
      <w:pPr>
        <w:suppressAutoHyphens w:val="0"/>
        <w:spacing w:before="2" w:after="2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 xml:space="preserve">              0, 1</w:t>
      </w:r>
      <w:r>
        <w:rPr>
          <w:rFonts w:ascii="Calibri" w:hAnsi="Calibri" w:cs="Times New Roman"/>
          <w:color w:val="000000"/>
          <w:sz w:val="24"/>
          <w:szCs w:val="24"/>
          <w:vertAlign w:val="superscript"/>
          <w:lang w:val="en-US" w:eastAsia="it-IT"/>
        </w:rPr>
        <w:t>st</w:t>
      </w: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, 2</w:t>
      </w:r>
      <w:r>
        <w:rPr>
          <w:rFonts w:ascii="Calibri" w:hAnsi="Calibri" w:cs="Times New Roman"/>
          <w:color w:val="000000"/>
          <w:sz w:val="24"/>
          <w:szCs w:val="24"/>
          <w:vertAlign w:val="superscript"/>
          <w:lang w:val="en-US" w:eastAsia="it-IT"/>
        </w:rPr>
        <w:t>nd</w:t>
      </w: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 xml:space="preserve"> and 3</w:t>
      </w:r>
      <w:r>
        <w:rPr>
          <w:rFonts w:ascii="Calibri" w:hAnsi="Calibri" w:cs="Times New Roman"/>
          <w:color w:val="000000"/>
          <w:sz w:val="24"/>
          <w:szCs w:val="24"/>
          <w:vertAlign w:val="superscript"/>
          <w:lang w:val="en-US" w:eastAsia="it-IT"/>
        </w:rPr>
        <w:t>rd</w:t>
      </w: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 xml:space="preserve"> conditionals – Gerund vs infinitive</w:t>
      </w:r>
    </w:p>
    <w:p w:rsidR="008D4BA2" w:rsidRPr="00AA1918" w:rsidRDefault="008D4BA2" w:rsidP="008D4BA2">
      <w:pPr>
        <w:rPr>
          <w:rFonts w:asciiTheme="majorHAnsi" w:hAnsiTheme="majorHAnsi"/>
          <w:sz w:val="24"/>
          <w:lang w:val="en-US"/>
        </w:rPr>
      </w:pPr>
    </w:p>
    <w:p w:rsidR="006F44D3" w:rsidRPr="006F44D3" w:rsidRDefault="006F44D3" w:rsidP="006F44D3">
      <w:pPr>
        <w:suppressAutoHyphens w:val="0"/>
        <w:spacing w:after="200"/>
        <w:rPr>
          <w:rFonts w:asciiTheme="majorHAnsi" w:eastAsiaTheme="minorHAnsi" w:hAnsiTheme="majorHAnsi"/>
          <w:b/>
          <w:sz w:val="24"/>
          <w:lang w:eastAsia="it-IT"/>
        </w:rPr>
      </w:pPr>
      <w:r w:rsidRPr="006F44D3">
        <w:rPr>
          <w:rFonts w:asciiTheme="majorHAnsi" w:eastAsiaTheme="minorHAnsi" w:hAnsiTheme="majorHAnsi"/>
          <w:b/>
          <w:sz w:val="24"/>
          <w:lang w:eastAsia="it-IT"/>
        </w:rPr>
        <w:t xml:space="preserve">Prova di verifica </w:t>
      </w:r>
    </w:p>
    <w:p w:rsidR="006F44D3" w:rsidRPr="006F44D3" w:rsidRDefault="006F44D3" w:rsidP="006F44D3">
      <w:pPr>
        <w:suppressAutoHyphens w:val="0"/>
        <w:spacing w:after="200"/>
        <w:rPr>
          <w:rFonts w:asciiTheme="majorHAnsi" w:eastAsiaTheme="minorHAnsi" w:hAnsiTheme="majorHAnsi"/>
          <w:sz w:val="24"/>
          <w:lang w:eastAsia="it-IT"/>
        </w:rPr>
      </w:pPr>
      <w:r w:rsidRPr="006F44D3">
        <w:rPr>
          <w:rFonts w:asciiTheme="majorHAnsi" w:eastAsiaTheme="minorHAnsi" w:hAnsiTheme="majorHAnsi"/>
          <w:sz w:val="24"/>
          <w:lang w:eastAsia="it-IT"/>
        </w:rPr>
        <w:t xml:space="preserve">Esercizi strutturali per la parte di grammatica </w:t>
      </w:r>
    </w:p>
    <w:p w:rsidR="00DB21A6" w:rsidRPr="00AA1918" w:rsidRDefault="006F44D3" w:rsidP="00AA1918">
      <w:pPr>
        <w:suppressAutoHyphens w:val="0"/>
        <w:spacing w:after="200"/>
        <w:rPr>
          <w:rFonts w:asciiTheme="majorHAnsi" w:eastAsiaTheme="minorHAnsi" w:hAnsiTheme="majorHAnsi"/>
          <w:sz w:val="24"/>
          <w:lang w:eastAsia="it-IT"/>
        </w:rPr>
      </w:pPr>
      <w:r w:rsidRPr="006F44D3">
        <w:rPr>
          <w:rFonts w:asciiTheme="majorHAnsi" w:eastAsiaTheme="minorHAnsi" w:hAnsiTheme="majorHAnsi"/>
          <w:sz w:val="24"/>
          <w:lang w:eastAsia="it-IT"/>
        </w:rPr>
        <w:t xml:space="preserve">Multiple </w:t>
      </w:r>
      <w:proofErr w:type="spellStart"/>
      <w:r w:rsidRPr="006F44D3">
        <w:rPr>
          <w:rFonts w:asciiTheme="majorHAnsi" w:eastAsiaTheme="minorHAnsi" w:hAnsiTheme="majorHAnsi"/>
          <w:sz w:val="24"/>
          <w:lang w:eastAsia="it-IT"/>
        </w:rPr>
        <w:t>choice</w:t>
      </w:r>
      <w:proofErr w:type="spellEnd"/>
      <w:r w:rsidRPr="006F44D3">
        <w:rPr>
          <w:rFonts w:asciiTheme="majorHAnsi" w:eastAsiaTheme="minorHAnsi" w:hAnsiTheme="majorHAnsi"/>
          <w:sz w:val="24"/>
          <w:lang w:eastAsia="it-IT"/>
        </w:rPr>
        <w:t xml:space="preserve"> </w:t>
      </w:r>
      <w:proofErr w:type="spellStart"/>
      <w:r w:rsidRPr="006F44D3">
        <w:rPr>
          <w:rFonts w:asciiTheme="majorHAnsi" w:eastAsiaTheme="minorHAnsi" w:hAnsiTheme="majorHAnsi"/>
          <w:sz w:val="24"/>
          <w:lang w:eastAsia="it-IT"/>
        </w:rPr>
        <w:t>questions</w:t>
      </w:r>
      <w:proofErr w:type="spellEnd"/>
      <w:r w:rsidRPr="006F44D3">
        <w:rPr>
          <w:rFonts w:asciiTheme="majorHAnsi" w:eastAsiaTheme="minorHAnsi" w:hAnsiTheme="majorHAnsi"/>
          <w:sz w:val="24"/>
          <w:lang w:eastAsia="it-IT"/>
        </w:rPr>
        <w:t xml:space="preserve"> + open </w:t>
      </w:r>
      <w:proofErr w:type="spellStart"/>
      <w:r w:rsidRPr="006F44D3">
        <w:rPr>
          <w:rFonts w:asciiTheme="majorHAnsi" w:eastAsiaTheme="minorHAnsi" w:hAnsiTheme="majorHAnsi"/>
          <w:sz w:val="24"/>
          <w:lang w:eastAsia="it-IT"/>
        </w:rPr>
        <w:t>questions</w:t>
      </w:r>
      <w:proofErr w:type="spellEnd"/>
      <w:r w:rsidRPr="006F44D3">
        <w:rPr>
          <w:rFonts w:asciiTheme="majorHAnsi" w:eastAsiaTheme="minorHAnsi" w:hAnsiTheme="majorHAnsi"/>
          <w:sz w:val="24"/>
          <w:lang w:eastAsia="it-IT"/>
        </w:rPr>
        <w:t xml:space="preserve"> per la parte di storia e letteratura</w:t>
      </w:r>
    </w:p>
    <w:sectPr w:rsidR="00DB21A6" w:rsidRPr="00AA1918" w:rsidSect="00EF60DB">
      <w:pgSz w:w="11900" w:h="16840"/>
      <w:pgMar w:top="851" w:right="851" w:bottom="851" w:left="851" w:header="567" w:footer="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512D65"/>
    <w:multiLevelType w:val="multilevel"/>
    <w:tmpl w:val="4C805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1B2D10"/>
    <w:multiLevelType w:val="multilevel"/>
    <w:tmpl w:val="17964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embedSystemFonts/>
  <w:proofState w:spelling="clean"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4697"/>
    <w:rsid w:val="006F44D3"/>
    <w:rsid w:val="008D4BA2"/>
    <w:rsid w:val="00AA1918"/>
    <w:rsid w:val="00D47B00"/>
    <w:rsid w:val="00E4469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044CA5-961C-6F45-898B-06ACD68E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rsid w:val="00E44697"/>
    <w:pPr>
      <w:suppressAutoHyphens/>
      <w:spacing w:after="0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rsid w:val="006F44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5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Maiandi</dc:creator>
  <cp:keywords/>
  <cp:lastModifiedBy>Microsoft Office User</cp:lastModifiedBy>
  <cp:revision>4</cp:revision>
  <dcterms:created xsi:type="dcterms:W3CDTF">2024-04-17T14:15:00Z</dcterms:created>
  <dcterms:modified xsi:type="dcterms:W3CDTF">2024-04-17T14:32:00Z</dcterms:modified>
</cp:coreProperties>
</file>