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</w:tblGrid>
      <w:tr w:rsidR="00E8269D" w:rsidRPr="00E8269D" w14:paraId="1912B87C" w14:textId="77777777" w:rsidTr="00E8269D">
        <w:trPr>
          <w:trHeight w:val="1471"/>
        </w:trPr>
        <w:tc>
          <w:tcPr>
            <w:tcW w:w="1105" w:type="dxa"/>
          </w:tcPr>
          <w:p w14:paraId="37D90165" w14:textId="77777777" w:rsidR="00E8269D" w:rsidRPr="00E8269D" w:rsidRDefault="00E8269D" w:rsidP="00E826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1B175AF5" w14:textId="5835A0F8" w:rsidR="00E8269D" w:rsidRPr="00E8269D" w:rsidRDefault="00E8269D" w:rsidP="00E826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E826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drawing>
                <wp:inline distT="0" distB="0" distL="0" distR="0" wp14:anchorId="755DF35B" wp14:editId="703ECE78">
                  <wp:extent cx="525780" cy="472440"/>
                  <wp:effectExtent l="0" t="0" r="7620" b="3810"/>
                  <wp:docPr id="1190948671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0948671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6A09259E" w14:textId="331BF069" w:rsidR="00E8269D" w:rsidRPr="00E8269D" w:rsidRDefault="00E8269D" w:rsidP="00E82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lang w:eastAsia="it-IT"/>
                <w14:ligatures w14:val="none"/>
              </w:rPr>
            </w:pPr>
            <w:r w:rsidRPr="00E8269D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lang w:eastAsia="it-IT"/>
                <w14:ligatures w14:val="none"/>
              </w:rPr>
              <w:drawing>
                <wp:inline distT="0" distB="0" distL="0" distR="0" wp14:anchorId="304DE864" wp14:editId="3483B6E6">
                  <wp:extent cx="335280" cy="342900"/>
                  <wp:effectExtent l="0" t="0" r="7620" b="0"/>
                  <wp:docPr id="796888262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6888262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F51C93" w14:textId="77777777" w:rsidR="00E8269D" w:rsidRPr="00E8269D" w:rsidRDefault="00E8269D" w:rsidP="00E82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0"/>
                <w:sz w:val="24"/>
                <w:szCs w:val="24"/>
                <w:lang w:eastAsia="it-IT"/>
                <w14:ligatures w14:val="none"/>
              </w:rPr>
            </w:pPr>
            <w:r w:rsidRPr="00E8269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it-IT"/>
                <w14:ligatures w14:val="none"/>
              </w:rPr>
              <w:t>Ministero dell’Istruzione e del merito</w:t>
            </w:r>
          </w:p>
          <w:p w14:paraId="05562F1D" w14:textId="77777777" w:rsidR="00E8269D" w:rsidRPr="00E8269D" w:rsidRDefault="00E8269D" w:rsidP="00E82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it-IT"/>
                <w14:ligatures w14:val="none"/>
              </w:rPr>
            </w:pPr>
            <w:r w:rsidRPr="00E8269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it-IT"/>
                <w14:ligatures w14:val="none"/>
              </w:rPr>
              <w:t>Istituto Magistrale Statale “A. Cairoli”</w:t>
            </w:r>
          </w:p>
          <w:p w14:paraId="565A1AD0" w14:textId="77777777" w:rsidR="00E8269D" w:rsidRPr="00E8269D" w:rsidRDefault="00E8269D" w:rsidP="00E82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E826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59C38F01" w14:textId="77777777" w:rsidR="00E8269D" w:rsidRPr="00E8269D" w:rsidRDefault="00E8269D" w:rsidP="00E82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eastAsia="it-IT"/>
                <w14:ligatures w14:val="none"/>
              </w:rPr>
            </w:pPr>
            <w:r w:rsidRPr="00E8269D">
              <w:rPr>
                <w:rFonts w:ascii="Times New Roman" w:eastAsia="Times New Roman" w:hAnsi="Times New Roman" w:cs="Times New Roman"/>
                <w:b/>
                <w:iCs/>
                <w:kern w:val="0"/>
                <w:sz w:val="24"/>
                <w:szCs w:val="24"/>
                <w:lang w:eastAsia="it-IT"/>
                <w14:ligatures w14:val="none"/>
              </w:rPr>
              <w:t>C.so Mazzini, 7 - 27100 Pavia</w:t>
            </w:r>
          </w:p>
          <w:p w14:paraId="3E51F35A" w14:textId="77777777" w:rsidR="00E8269D" w:rsidRPr="00E8269D" w:rsidRDefault="00E8269D" w:rsidP="00E82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E826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Tel. 0382 24794</w:t>
            </w:r>
          </w:p>
          <w:p w14:paraId="68F1A34D" w14:textId="77777777" w:rsidR="00E8269D" w:rsidRPr="00E8269D" w:rsidRDefault="00E8269D" w:rsidP="00E82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E826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email:pvpm01000a@istruzione.it - pvpm01000a@pec.istruzione.it</w:t>
            </w:r>
          </w:p>
        </w:tc>
      </w:tr>
    </w:tbl>
    <w:p w14:paraId="5CFEF106" w14:textId="77777777" w:rsidR="00663F16" w:rsidRPr="00663F16" w:rsidRDefault="00663F16" w:rsidP="00663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EF5B173" w14:textId="77777777" w:rsidR="00E8269D" w:rsidRDefault="00E8269D" w:rsidP="002579C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4B3E562B" w14:textId="77777777" w:rsidR="00E8269D" w:rsidRDefault="00E8269D" w:rsidP="002579C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129DFAF0" w14:textId="77777777" w:rsidR="00E8269D" w:rsidRDefault="00E8269D" w:rsidP="002579C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7BB3CB87" w14:textId="77777777" w:rsidR="00E8269D" w:rsidRDefault="00E8269D" w:rsidP="002579C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41AD634C" w14:textId="77777777" w:rsidR="00E8269D" w:rsidRDefault="00E8269D" w:rsidP="002579C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16B2FCA3" w14:textId="3C0C5F36" w:rsidR="002579C6" w:rsidRPr="002579C6" w:rsidRDefault="002579C6" w:rsidP="002579C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  <w:t>LICEO DI SCIENZE UMANE</w:t>
      </w:r>
    </w:p>
    <w:p w14:paraId="6B92C1F8" w14:textId="77777777" w:rsidR="002579C6" w:rsidRPr="002579C6" w:rsidRDefault="002579C6" w:rsidP="002579C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  <w:t>CONTENUTI MINIMI DI FILOSOFIA [3 h / settimana]</w:t>
      </w:r>
    </w:p>
    <w:p w14:paraId="78282F3E" w14:textId="77777777" w:rsidR="002579C6" w:rsidRDefault="002579C6" w:rsidP="002579C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  <w:t>CLASSI QUINTE</w:t>
      </w:r>
    </w:p>
    <w:p w14:paraId="1A4BEA15" w14:textId="77777777" w:rsidR="008A5C9D" w:rsidRDefault="008A5C9D" w:rsidP="002579C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10AA94E4" w14:textId="77777777" w:rsidR="008A5C9D" w:rsidRPr="002579C6" w:rsidRDefault="008A5C9D" w:rsidP="002579C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8A949F2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it-IT"/>
          <w14:ligatures w14:val="none"/>
        </w:rPr>
        <w:t>Primo modulo: Hegel e Feuerbach</w:t>
      </w:r>
    </w:p>
    <w:p w14:paraId="51869C75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1) Le tesi di fondo della filosofia hegeliana.</w:t>
      </w:r>
    </w:p>
    <w:p w14:paraId="342D22A6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2) La Fenomenologia dello spirito.</w:t>
      </w:r>
    </w:p>
    <w:p w14:paraId="42971498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3) La dialettica e la costruzione del sistema.</w:t>
      </w:r>
    </w:p>
    <w:p w14:paraId="38FDE057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4) L'eticità e la filosofia della storia.</w:t>
      </w:r>
    </w:p>
    <w:p w14:paraId="7E942A44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5) La critica di Feuerbach al rovesciamento hegeliano di soggetto e predicato.</w:t>
      </w:r>
    </w:p>
    <w:p w14:paraId="1526698B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6) La critica di Feuerbach alla religione come “alienazione”.</w:t>
      </w:r>
    </w:p>
    <w:p w14:paraId="7DABB044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E961870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it-IT"/>
          <w14:ligatures w14:val="none"/>
        </w:rPr>
        <w:t>Secondo modulo: La riflessione filosofica sulla società industriale</w:t>
      </w:r>
    </w:p>
    <w:p w14:paraId="1F3464B8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1) Marx.</w:t>
      </w:r>
    </w:p>
    <w:p w14:paraId="3808AD21" w14:textId="77777777" w:rsidR="002579C6" w:rsidRPr="002579C6" w:rsidRDefault="002579C6" w:rsidP="002579C6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1.1. Il concetto di alienazione “economica”.</w:t>
      </w:r>
    </w:p>
    <w:p w14:paraId="3FE68D00" w14:textId="77777777" w:rsidR="002579C6" w:rsidRPr="002579C6" w:rsidRDefault="002579C6" w:rsidP="002579C6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1.2. Concezione materialistica della storia e teoria delle ideologie.</w:t>
      </w:r>
    </w:p>
    <w:p w14:paraId="0ABC13D1" w14:textId="77777777" w:rsidR="002579C6" w:rsidRPr="002579C6" w:rsidRDefault="002579C6" w:rsidP="002579C6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1.3. Il Capitale: analisi del modo di produzione capitalistico.</w:t>
      </w:r>
    </w:p>
    <w:p w14:paraId="6C50F218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2) La civiltà intellettuale del Positivismo.</w:t>
      </w:r>
    </w:p>
    <w:p w14:paraId="78647342" w14:textId="77777777" w:rsidR="002579C6" w:rsidRPr="002579C6" w:rsidRDefault="002579C6" w:rsidP="002579C6">
      <w:pPr>
        <w:spacing w:after="0" w:line="240" w:lineRule="auto"/>
        <w:ind w:firstLine="14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2.1. La “legge dei stadi” di Comte</w:t>
      </w:r>
    </w:p>
    <w:p w14:paraId="40A6A496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404E0D6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it-IT"/>
          <w14:ligatures w14:val="none"/>
        </w:rPr>
        <w:t>Terzo modulo: Il “disincantamento” del mondo in Schopenhauer e Nietzsche</w:t>
      </w:r>
    </w:p>
    <w:p w14:paraId="5A32637B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1) Schopenhauer:</w:t>
      </w:r>
    </w:p>
    <w:p w14:paraId="5A1F5B8B" w14:textId="77777777" w:rsidR="002579C6" w:rsidRPr="002579C6" w:rsidRDefault="002579C6" w:rsidP="002579C6">
      <w:pPr>
        <w:spacing w:after="0" w:line="240" w:lineRule="auto"/>
        <w:ind w:firstLine="14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1.1. Il mondo come “rappresentazione” e il mondo come Volontà.</w:t>
      </w:r>
    </w:p>
    <w:p w14:paraId="0007D8FD" w14:textId="77777777" w:rsidR="002579C6" w:rsidRPr="002579C6" w:rsidRDefault="002579C6" w:rsidP="002579C6">
      <w:pPr>
        <w:spacing w:after="0" w:line="240" w:lineRule="auto"/>
        <w:ind w:firstLine="14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1.2. Il pessimismo cosmico e le vie di liberazione dal dolore.</w:t>
      </w:r>
    </w:p>
    <w:p w14:paraId="481C0E31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2) Nietzsche:</w:t>
      </w:r>
    </w:p>
    <w:p w14:paraId="7759550D" w14:textId="77777777" w:rsidR="002579C6" w:rsidRPr="002579C6" w:rsidRDefault="002579C6" w:rsidP="002579C6">
      <w:pPr>
        <w:spacing w:after="0" w:line="240" w:lineRule="auto"/>
        <w:ind w:firstLine="14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2.1. “Dionisiaco” e “Apollineo” come categorie interpretative dell’esistenza.</w:t>
      </w:r>
    </w:p>
    <w:p w14:paraId="3920C6BD" w14:textId="77777777" w:rsidR="002579C6" w:rsidRPr="002579C6" w:rsidRDefault="002579C6" w:rsidP="002579C6">
      <w:pPr>
        <w:spacing w:after="0" w:line="240" w:lineRule="auto"/>
        <w:ind w:firstLine="14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2.2. L'autosuperamento della morale occidentale: “morte di Dio” e nichilismo.</w:t>
      </w:r>
    </w:p>
    <w:p w14:paraId="3975139B" w14:textId="77777777" w:rsidR="002579C6" w:rsidRPr="002579C6" w:rsidRDefault="002579C6" w:rsidP="002579C6">
      <w:pPr>
        <w:spacing w:after="0" w:line="240" w:lineRule="auto"/>
        <w:ind w:firstLine="14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2.3. La teoria dell'Eterno Ritorno dell’Uguale.</w:t>
      </w:r>
    </w:p>
    <w:p w14:paraId="5B7DFE12" w14:textId="77777777" w:rsidR="002579C6" w:rsidRPr="002579C6" w:rsidRDefault="002579C6" w:rsidP="002579C6">
      <w:pPr>
        <w:spacing w:after="0" w:line="240" w:lineRule="auto"/>
        <w:ind w:firstLine="14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2.4. "Oltre-uomo" e volontà di potenza.</w:t>
      </w:r>
    </w:p>
    <w:p w14:paraId="0B88CD70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A3DED73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it-IT"/>
          <w14:ligatures w14:val="none"/>
        </w:rPr>
        <w:t>Quarto modulo: Esistenzialismo.</w:t>
      </w:r>
    </w:p>
    <w:p w14:paraId="54CB0B40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A scelta:</w:t>
      </w:r>
    </w:p>
    <w:p w14:paraId="0C7B721E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a) Heidegger: Essere e tempo</w:t>
      </w:r>
    </w:p>
    <w:p w14:paraId="76D59088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b) Sartre: L’Essere e il Nulla</w:t>
      </w:r>
    </w:p>
    <w:p w14:paraId="7A16B4FA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429D986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it-IT"/>
          <w14:ligatures w14:val="none"/>
        </w:rPr>
        <w:t>Quinto modulo: La “Teoria Critica” della società nella Scuola di Francoforte.</w:t>
      </w:r>
    </w:p>
    <w:p w14:paraId="648AC983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1) Horkheimer e Adorno: ragione strumentale, industria culturale e logica repressiva della civiltà</w:t>
      </w:r>
    </w:p>
    <w:p w14:paraId="3B618CA5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borghese in Eclisse della ragione e Dialettica dell'illuminismo.</w:t>
      </w:r>
    </w:p>
    <w:p w14:paraId="285D588E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 xml:space="preserve">2) Marcuse: nuove forme di controllo della società industriale e "falsa coscienza" ne </w:t>
      </w:r>
      <w:r w:rsidRPr="002579C6">
        <w:rPr>
          <w:rFonts w:ascii="Calibri" w:eastAsia="Times New Roman" w:hAnsi="Calibri" w:cs="Calibri"/>
          <w:i/>
          <w:iCs/>
          <w:color w:val="000000"/>
          <w:kern w:val="0"/>
          <w:sz w:val="24"/>
          <w:szCs w:val="24"/>
          <w:lang w:eastAsia="it-IT"/>
          <w14:ligatures w14:val="none"/>
        </w:rPr>
        <w:t>L'uomo a</w:t>
      </w:r>
    </w:p>
    <w:p w14:paraId="201B056C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i/>
          <w:iCs/>
          <w:color w:val="000000"/>
          <w:kern w:val="0"/>
          <w:sz w:val="24"/>
          <w:szCs w:val="24"/>
          <w:lang w:eastAsia="it-IT"/>
          <w14:ligatures w14:val="none"/>
        </w:rPr>
        <w:t>una dimensione.</w:t>
      </w:r>
    </w:p>
    <w:p w14:paraId="47ABBECD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it-IT"/>
          <w14:ligatures w14:val="none"/>
        </w:rPr>
      </w:pPr>
    </w:p>
    <w:p w14:paraId="22C38BA7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it-IT"/>
          <w14:ligatures w14:val="none"/>
        </w:rPr>
        <w:t>Sesto modulo: Filosofia, scienza e linguaggio</w:t>
      </w:r>
    </w:p>
    <w:p w14:paraId="42D13C97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A scelta:</w:t>
      </w:r>
    </w:p>
    <w:p w14:paraId="700E4C29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a) Popper e la filosofia della scienza, tra Neopositivismo logico e Einstein.</w:t>
      </w:r>
    </w:p>
    <w:p w14:paraId="6F8CC2E4" w14:textId="77777777" w:rsidR="002579C6" w:rsidRPr="002579C6" w:rsidRDefault="002579C6" w:rsidP="002579C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 xml:space="preserve">b) Wittgenstein e la filosofia del linguaggio, tra </w:t>
      </w:r>
      <w:r w:rsidRPr="002579C6">
        <w:rPr>
          <w:rFonts w:ascii="Calibri" w:eastAsia="Times New Roman" w:hAnsi="Calibri" w:cs="Calibri"/>
          <w:i/>
          <w:iCs/>
          <w:color w:val="000000"/>
          <w:kern w:val="0"/>
          <w:sz w:val="24"/>
          <w:szCs w:val="24"/>
          <w:lang w:eastAsia="it-IT"/>
          <w14:ligatures w14:val="none"/>
        </w:rPr>
        <w:t>Tractatus</w:t>
      </w: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 xml:space="preserve"> e </w:t>
      </w:r>
      <w:r w:rsidRPr="002579C6">
        <w:rPr>
          <w:rFonts w:ascii="Calibri" w:eastAsia="Times New Roman" w:hAnsi="Calibri" w:cs="Calibri"/>
          <w:i/>
          <w:iCs/>
          <w:color w:val="000000"/>
          <w:kern w:val="0"/>
          <w:sz w:val="24"/>
          <w:szCs w:val="24"/>
          <w:lang w:eastAsia="it-IT"/>
          <w14:ligatures w14:val="none"/>
        </w:rPr>
        <w:t>Ricerche filosofiche</w:t>
      </w:r>
      <w:r w:rsidRPr="002579C6">
        <w:rPr>
          <w:rFonts w:ascii="Calibri" w:eastAsia="Times New Roman" w:hAnsi="Calibri" w:cs="Calibri"/>
          <w:color w:val="000000"/>
          <w:kern w:val="0"/>
          <w:sz w:val="24"/>
          <w:szCs w:val="24"/>
          <w:lang w:eastAsia="it-IT"/>
          <w14:ligatures w14:val="none"/>
        </w:rPr>
        <w:t>.</w:t>
      </w:r>
    </w:p>
    <w:p w14:paraId="0A8F1ACA" w14:textId="77777777" w:rsidR="00663F16" w:rsidRPr="00663F16" w:rsidRDefault="00663F16" w:rsidP="00663F16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2F037B7E" w14:textId="77777777" w:rsidR="00663F16" w:rsidRPr="00663F16" w:rsidRDefault="00663F16" w:rsidP="00663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 </w:t>
      </w:r>
    </w:p>
    <w:p w14:paraId="4CCBDB60" w14:textId="7D4DA4C6" w:rsidR="00B275C6" w:rsidRDefault="00B275C6" w:rsidP="00B275C6">
      <w:r>
        <w:t xml:space="preserve">TESTO CONSIGLIATO: Abbagnano N., Fornero G., </w:t>
      </w:r>
      <w:r w:rsidRPr="00795EB7">
        <w:rPr>
          <w:u w:val="single"/>
        </w:rPr>
        <w:t>Vivere la filosofia</w:t>
      </w:r>
      <w:r>
        <w:t xml:space="preserve">, vol. </w:t>
      </w:r>
      <w:r w:rsidR="00E8269D">
        <w:t>3</w:t>
      </w:r>
      <w:r>
        <w:t>, ed. Paravia</w:t>
      </w:r>
    </w:p>
    <w:p w14:paraId="02A6B82D" w14:textId="33A56EE2" w:rsidR="003A611F" w:rsidRDefault="00663F16" w:rsidP="00663F16">
      <w:r w:rsidRPr="00663F1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663F1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sectPr w:rsidR="003A61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51F"/>
    <w:rsid w:val="002579C6"/>
    <w:rsid w:val="003A611F"/>
    <w:rsid w:val="005E3081"/>
    <w:rsid w:val="00663F16"/>
    <w:rsid w:val="008A5C9D"/>
    <w:rsid w:val="00B275C6"/>
    <w:rsid w:val="00E8269D"/>
    <w:rsid w:val="00F3451F"/>
    <w:rsid w:val="00F77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CC17"/>
  <w15:chartTrackingRefBased/>
  <w15:docId w15:val="{843EA61F-4CE7-4D6F-8CB9-BAE2EA1DB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34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34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345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34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345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34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34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34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34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345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345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345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3451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3451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3451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3451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3451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3451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34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34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34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34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34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3451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3451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3451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345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3451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3451F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663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apple-tab-span">
    <w:name w:val="apple-tab-span"/>
    <w:basedOn w:val="Carpredefinitoparagrafo"/>
    <w:rsid w:val="00663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343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7</cp:revision>
  <dcterms:created xsi:type="dcterms:W3CDTF">2024-04-15T19:12:00Z</dcterms:created>
  <dcterms:modified xsi:type="dcterms:W3CDTF">2025-02-10T15:08:00Z</dcterms:modified>
</cp:coreProperties>
</file>